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四平市铁东区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贯彻落实第二轮中央生态环境保护督察报告整改任务</w:t>
      </w: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销号公示表格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（序号</w:t>
      </w:r>
      <w:r>
        <w:rPr>
          <w:rFonts w:hint="eastAsia" w:eastAsia="方正小标宋简体"/>
          <w:spacing w:val="-20"/>
          <w:sz w:val="44"/>
          <w:szCs w:val="44"/>
          <w:highlight w:val="none"/>
          <w:lang w:val="en-US" w:eastAsia="zh-CN"/>
        </w:rPr>
        <w:t>二十七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）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099"/>
        <w:gridCol w:w="2218"/>
        <w:gridCol w:w="2005"/>
        <w:gridCol w:w="4535"/>
        <w:gridCol w:w="3573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市序号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清单编号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整改问题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14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整改任务完成情况</w:t>
            </w:r>
          </w:p>
        </w:tc>
        <w:tc>
          <w:tcPr>
            <w:tcW w:w="3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319" w:type="pct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bookmarkStart w:id="0" w:name="_GoBack" w:colFirst="5" w:colLast="5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352" w:type="pct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710" w:type="pct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VOCs管控和扬尘治理不到位。督察发现，部分石化行业未按照要求开展泄漏检测和修复工作。扬尘治理亟待加强，抽查发现，长春、延边等市州多处建筑施工工地扬尘治理有欠缺，污染严重。</w:t>
            </w:r>
          </w:p>
        </w:tc>
        <w:tc>
          <w:tcPr>
            <w:tcW w:w="642" w:type="pct"/>
            <w:noWrap w:val="0"/>
            <w:vAlign w:val="top"/>
          </w:tcPr>
          <w:p>
            <w:pPr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达到VOCs管控要求，企业达标排放。街面车辆无带泥上路、工地无扬尘现象。</w:t>
            </w:r>
          </w:p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452" w:type="pct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1.按照上级要求开展石化行业摸底调查，建立动态管控清单。（生态环境分局）</w:t>
            </w:r>
          </w:p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2.对各施工工地进行网格化管理，进一步排查建筑工地（房屋建筑工程和市政基础设施工程），要求施工单位必须制定扬尘治理制度。建立月调度制度，加强对施工企业常态化巡查，针对防沙网等覆盖不彻底的情况，加大整治督导力度，严把新动工施工现场关，要求施工场地出入口硬面化，必须设置喷淋清洗设施，切实督促各施工工地做到出入车辆冲净车轮车身，严格落实六个标准化建设内容要求。加大执法力度，对运输渣土等各类车辆不苫盖、带泥上路、沿途散落等违法违规行为，依法依规进行处理。（执法局）</w:t>
            </w:r>
          </w:p>
        </w:tc>
        <w:tc>
          <w:tcPr>
            <w:tcW w:w="1144" w:type="pct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.开展了石化行业摸底调查，建立动态管控清单。经查，铁东区有1户企业列入管控清单。2，针对煤炭运输车辆苫盖不彻底进行突击整治，教育好运输人员不要存在懒惰思想，执法人员加班加点，经常出入地点巡回检查，并对屡教不改的车辆进行行政处罚。</w:t>
            </w:r>
          </w:p>
        </w:tc>
        <w:tc>
          <w:tcPr>
            <w:tcW w:w="378" w:type="pct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</w:tc>
      </w:tr>
      <w:bookmarkEnd w:id="0"/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GQ1ZDdhNjYyMmVhY2QzZTYwZGU3ZjMzZWEwNDYifQ=="/>
  </w:docVars>
  <w:rsids>
    <w:rsidRoot w:val="497156C1"/>
    <w:rsid w:val="0B166C6B"/>
    <w:rsid w:val="0BCE18A0"/>
    <w:rsid w:val="166B0468"/>
    <w:rsid w:val="16F008D2"/>
    <w:rsid w:val="1A2B7F5D"/>
    <w:rsid w:val="39CB3E0B"/>
    <w:rsid w:val="42D9090A"/>
    <w:rsid w:val="47370652"/>
    <w:rsid w:val="497156C1"/>
    <w:rsid w:val="52505342"/>
    <w:rsid w:val="54BD295F"/>
    <w:rsid w:val="57D53DA1"/>
    <w:rsid w:val="668D4DC1"/>
    <w:rsid w:val="71076FBF"/>
    <w:rsid w:val="7A1B7543"/>
    <w:rsid w:val="7D84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Calibri" w:hAnsi="Calibri" w:eastAsia="Calibri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Body Text 2"/>
    <w:basedOn w:val="1"/>
    <w:qFormat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580</Characters>
  <Lines>0</Lines>
  <Paragraphs>0</Paragraphs>
  <TotalTime>2</TotalTime>
  <ScaleCrop>false</ScaleCrop>
  <LinksUpToDate>false</LinksUpToDate>
  <CharactersWithSpaces>580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2019-12-06T00:47:00Z</dcterms:created>
  <dc:creator>%E8%94%93</dc:creator>
  <cp:lastModifiedBy>Administrator</cp:lastModifiedBy>
  <cp:lastPrinted>2022-12-26T08:00:00Z</cp:lastPrinted>
  <dcterms:modified xsi:type="dcterms:W3CDTF">2022-12-26T08:08:01Z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BD91C367C02C4156A563D4690ECD999E</vt:lpwstr>
  </property>
</Properties>
</file>