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eastAsia="方正小标宋简体"/>
          <w:sz w:val="44"/>
          <w:szCs w:val="44"/>
          <w:highlight w:val="none"/>
        </w:rPr>
      </w:pPr>
      <w:r>
        <w:rPr>
          <w:rFonts w:hint="eastAsia" w:ascii="方正小标宋简体" w:eastAsia="方正小标宋简体"/>
          <w:sz w:val="44"/>
          <w:szCs w:val="44"/>
          <w:lang w:eastAsia="zh-CN"/>
        </w:rPr>
        <w:t>四平市铁东区</w:t>
      </w:r>
      <w:r>
        <w:rPr>
          <w:rFonts w:hint="eastAsia" w:ascii="方正小标宋简体" w:eastAsia="方正小标宋简体"/>
          <w:sz w:val="44"/>
          <w:szCs w:val="44"/>
        </w:rPr>
        <w:t>关于</w:t>
      </w:r>
      <w:r>
        <w:rPr>
          <w:rFonts w:hint="eastAsia" w:ascii="方正小标宋简体" w:eastAsia="方正小标宋简体"/>
          <w:sz w:val="44"/>
          <w:szCs w:val="44"/>
          <w:highlight w:val="none"/>
        </w:rPr>
        <w:t>贯彻落实第二轮中央生态环境保护督察报告整改任务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 w:cs="仿宋"/>
          <w:spacing w:val="-20"/>
          <w:sz w:val="32"/>
          <w:szCs w:val="32"/>
          <w:lang w:val="en-US" w:eastAsia="zh-CN"/>
        </w:rPr>
      </w:pPr>
      <w:r>
        <w:rPr>
          <w:rFonts w:hint="eastAsia" w:eastAsia="方正小标宋简体"/>
          <w:spacing w:val="-20"/>
          <w:sz w:val="44"/>
          <w:szCs w:val="44"/>
          <w:highlight w:val="none"/>
          <w:lang w:eastAsia="zh-CN"/>
        </w:rPr>
        <w:t>销号公示表格</w:t>
      </w:r>
      <w:r>
        <w:rPr>
          <w:rFonts w:hint="eastAsia" w:eastAsia="方正小标宋简体"/>
          <w:spacing w:val="-20"/>
          <w:sz w:val="44"/>
          <w:szCs w:val="44"/>
          <w:highlight w:val="none"/>
        </w:rPr>
        <w:t>（序号</w:t>
      </w:r>
      <w:r>
        <w:rPr>
          <w:rFonts w:hint="eastAsia" w:eastAsia="方正小标宋简体"/>
          <w:spacing w:val="-20"/>
          <w:sz w:val="44"/>
          <w:szCs w:val="44"/>
          <w:highlight w:val="none"/>
          <w:lang w:eastAsia="zh-CN"/>
        </w:rPr>
        <w:t>三十一</w:t>
      </w:r>
      <w:bookmarkStart w:id="0" w:name="_GoBack"/>
      <w:bookmarkEnd w:id="0"/>
      <w:r>
        <w:rPr>
          <w:rFonts w:hint="eastAsia" w:eastAsia="方正小标宋简体"/>
          <w:spacing w:val="-20"/>
          <w:sz w:val="44"/>
          <w:szCs w:val="44"/>
          <w:highlight w:val="none"/>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064"/>
        <w:gridCol w:w="2147"/>
        <w:gridCol w:w="1942"/>
        <w:gridCol w:w="3734"/>
        <w:gridCol w:w="4108"/>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6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市序号</w:t>
            </w:r>
          </w:p>
        </w:tc>
        <w:tc>
          <w:tcPr>
            <w:tcW w:w="1064"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清单编号</w:t>
            </w:r>
          </w:p>
        </w:tc>
        <w:tc>
          <w:tcPr>
            <w:tcW w:w="214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整改问题</w:t>
            </w:r>
          </w:p>
        </w:tc>
        <w:tc>
          <w:tcPr>
            <w:tcW w:w="194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整改目标</w:t>
            </w:r>
          </w:p>
        </w:tc>
        <w:tc>
          <w:tcPr>
            <w:tcW w:w="3734"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整改措施</w:t>
            </w:r>
          </w:p>
        </w:tc>
        <w:tc>
          <w:tcPr>
            <w:tcW w:w="4108"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整改任务完成情况</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0" w:hRule="atLeast"/>
        </w:trPr>
        <w:tc>
          <w:tcPr>
            <w:tcW w:w="965" w:type="dxa"/>
            <w:noWrap w:val="0"/>
            <w:vAlign w:val="top"/>
          </w:tcPr>
          <w:p>
            <w:pPr>
              <w:pStyle w:val="5"/>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三十一</w:t>
            </w:r>
          </w:p>
        </w:tc>
        <w:tc>
          <w:tcPr>
            <w:tcW w:w="1064" w:type="dxa"/>
            <w:noWrap w:val="0"/>
            <w:vAlign w:val="top"/>
          </w:tcPr>
          <w:p>
            <w:pPr>
              <w:pStyle w:val="5"/>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三十一</w:t>
            </w:r>
          </w:p>
        </w:tc>
        <w:tc>
          <w:tcPr>
            <w:tcW w:w="2147" w:type="dxa"/>
            <w:noWrap w:val="0"/>
            <w:vAlign w:val="center"/>
          </w:tcPr>
          <w:p>
            <w:pPr>
              <w:snapToGrid w:val="0"/>
              <w:spacing w:line="600" w:lineRule="exact"/>
              <w:ind w:firstLine="422" w:firstLineChars="200"/>
              <w:jc w:val="center"/>
              <w:textAlignment w:val="baseline"/>
              <w:rPr>
                <w:rFonts w:ascii="仿宋_GB2312" w:hAnsi="仿宋_GB2312" w:eastAsia="仿宋_GB2312" w:cs="仿宋_GB2312"/>
                <w:b/>
                <w:color w:val="0070C0"/>
                <w:sz w:val="21"/>
                <w:szCs w:val="21"/>
              </w:rPr>
            </w:pPr>
            <w:r>
              <w:rPr>
                <w:rFonts w:hint="eastAsia" w:ascii="仿宋_GB2312" w:hAnsi="仿宋_GB2312" w:eastAsia="仿宋_GB2312" w:cs="仿宋_GB2312"/>
                <w:b/>
                <w:bCs/>
                <w:color w:val="000000" w:themeColor="text1"/>
                <w:sz w:val="21"/>
                <w:szCs w:val="21"/>
                <w14:textFill>
                  <w14:solidFill>
                    <w14:schemeClr w14:val="tx1"/>
                  </w14:solidFill>
                </w14:textFill>
              </w:rPr>
              <w:t>危险废物违法处置问题依然存在。2020年11月，四平双辽市星月化工有限公司违法将70余吨废酸转移给没有危险废物处置资质的长春市高深环保科技有限公司进行处置，后者将70余吨废酸倾倒在农安县境内，对水体、土壤造成严重污染。</w:t>
            </w:r>
          </w:p>
          <w:p>
            <w:pPr>
              <w:pStyle w:val="5"/>
              <w:bidi w:val="0"/>
              <w:jc w:val="center"/>
              <w:rPr>
                <w:rFonts w:hint="eastAsia" w:ascii="仿宋" w:hAnsi="仿宋" w:eastAsia="仿宋" w:cs="仿宋"/>
                <w:sz w:val="21"/>
                <w:szCs w:val="21"/>
                <w:lang w:val="en-US" w:eastAsia="zh-CN"/>
              </w:rPr>
            </w:pPr>
          </w:p>
        </w:tc>
        <w:tc>
          <w:tcPr>
            <w:tcW w:w="1942" w:type="dxa"/>
            <w:noWrap w:val="0"/>
            <w:vAlign w:val="center"/>
          </w:tcPr>
          <w:p>
            <w:pPr>
              <w:pStyle w:val="5"/>
              <w:bidi w:val="0"/>
              <w:jc w:val="center"/>
              <w:rPr>
                <w:rFonts w:hint="eastAsia" w:ascii="仿宋" w:hAnsi="仿宋" w:eastAsia="仿宋" w:cs="仿宋"/>
                <w:sz w:val="21"/>
                <w:szCs w:val="21"/>
                <w:lang w:val="en-US" w:eastAsia="zh-CN"/>
              </w:rPr>
            </w:pPr>
            <w:r>
              <w:rPr>
                <w:rFonts w:hint="eastAsia" w:ascii="仿宋_GB2312" w:hAnsi="仿宋_GB2312" w:eastAsia="仿宋_GB2312" w:cs="仿宋_GB2312"/>
                <w:bCs/>
                <w:color w:val="000000" w:themeColor="text1"/>
                <w:sz w:val="21"/>
                <w:szCs w:val="21"/>
                <w14:textFill>
                  <w14:solidFill>
                    <w14:schemeClr w14:val="tx1"/>
                  </w14:solidFill>
                </w14:textFill>
              </w:rPr>
              <w:t>涉危险废物企业日常管理规范</w:t>
            </w:r>
          </w:p>
        </w:tc>
        <w:tc>
          <w:tcPr>
            <w:tcW w:w="3734" w:type="dxa"/>
            <w:noWrap w:val="0"/>
            <w:vAlign w:val="center"/>
          </w:tcPr>
          <w:p>
            <w:pPr>
              <w:ind w:firstLine="420" w:firstLineChars="200"/>
              <w:jc w:val="center"/>
              <w:textAlignment w:val="baseline"/>
              <w:rPr>
                <w:rFonts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1.2022年8月底前，按照市生态环境局要求开展危险废物专项执法检查，排查梳理涉危险废物非法收集、贮存、运输、处置等违法违规问题，严厉打击违法犯罪行为。督促企业执行转移联单制度，使危险废物得到妥善处置，消除安全隐患。</w:t>
            </w:r>
          </w:p>
          <w:p>
            <w:pPr>
              <w:ind w:firstLine="420" w:firstLineChars="200"/>
              <w:jc w:val="center"/>
              <w:textAlignment w:val="baseline"/>
              <w:rPr>
                <w:rFonts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2.2022年8月底前，按照市生态环境局要求开展危险废物规范化环境管理评估工作，建立问题清单。督促相关企业制定整改方案，进一步加强危险废物规范化管理工作，按期完成整改。</w:t>
            </w:r>
          </w:p>
          <w:p>
            <w:pPr>
              <w:pStyle w:val="5"/>
              <w:bidi w:val="0"/>
              <w:jc w:val="center"/>
              <w:rPr>
                <w:rFonts w:hint="eastAsia" w:ascii="仿宋" w:hAnsi="仿宋" w:eastAsia="仿宋" w:cs="仿宋"/>
                <w:sz w:val="21"/>
                <w:szCs w:val="21"/>
                <w:lang w:val="en-US" w:eastAsia="zh-CN"/>
              </w:rPr>
            </w:pPr>
          </w:p>
        </w:tc>
        <w:tc>
          <w:tcPr>
            <w:tcW w:w="4108" w:type="dxa"/>
            <w:noWrap w:val="0"/>
            <w:vAlign w:val="center"/>
          </w:tcPr>
          <w:p>
            <w:pPr>
              <w:numPr>
                <w:ilvl w:val="0"/>
                <w:numId w:val="0"/>
              </w:numPr>
              <w:spacing w:line="600" w:lineRule="exact"/>
              <w:ind w:firstLine="420" w:firstLineChars="200"/>
              <w:jc w:val="center"/>
              <w:textAlignment w:val="baseline"/>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lang w:eastAsia="zh-CN"/>
                <w14:textFill>
                  <w14:solidFill>
                    <w14:schemeClr w14:val="tx1"/>
                  </w14:solidFill>
                </w14:textFill>
              </w:rPr>
              <w:t>按照市生态环境局要求，已完成危险废物专项执法检查。</w:t>
            </w:r>
          </w:p>
          <w:p>
            <w:pPr>
              <w:numPr>
                <w:ilvl w:val="0"/>
                <w:numId w:val="0"/>
              </w:numPr>
              <w:spacing w:line="600" w:lineRule="exact"/>
              <w:ind w:firstLine="420" w:firstLineChars="200"/>
              <w:jc w:val="center"/>
              <w:textAlignment w:val="baseline"/>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lang w:eastAsia="zh-CN"/>
                <w14:textFill>
                  <w14:solidFill>
                    <w14:schemeClr w14:val="tx1"/>
                  </w14:solidFill>
                </w14:textFill>
              </w:rPr>
              <w:t>按照市生态环境局要求，已完成危险废物规范化环境管理评估工作。</w:t>
            </w:r>
          </w:p>
          <w:p>
            <w:pPr>
              <w:pStyle w:val="5"/>
              <w:bidi w:val="0"/>
              <w:jc w:val="center"/>
              <w:rPr>
                <w:rFonts w:hint="eastAsia" w:ascii="仿宋" w:hAnsi="仿宋" w:eastAsia="仿宋" w:cs="仿宋"/>
                <w:sz w:val="21"/>
                <w:szCs w:val="21"/>
                <w:lang w:val="en-US" w:eastAsia="zh-CN"/>
              </w:rPr>
            </w:pPr>
          </w:p>
        </w:tc>
        <w:tc>
          <w:tcPr>
            <w:tcW w:w="1145" w:type="dxa"/>
            <w:noWrap w:val="0"/>
            <w:vAlign w:val="top"/>
          </w:tcPr>
          <w:p>
            <w:pPr>
              <w:pStyle w:val="5"/>
              <w:bidi w:val="0"/>
              <w:rPr>
                <w:rFonts w:hint="eastAsia" w:ascii="仿宋" w:hAnsi="仿宋" w:eastAsia="仿宋" w:cs="仿宋"/>
                <w:sz w:val="21"/>
                <w:szCs w:val="21"/>
                <w:lang w:val="en-US" w:eastAsia="zh-CN"/>
              </w:rPr>
            </w:pP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NzU1YmEzNWY2YTlmMzVkYmZkMDY0OTUzNGNjNjQifQ=="/>
  </w:docVars>
  <w:rsids>
    <w:rsidRoot w:val="497156C1"/>
    <w:rsid w:val="0B166C6B"/>
    <w:rsid w:val="0BCE18A0"/>
    <w:rsid w:val="166B0468"/>
    <w:rsid w:val="176E729B"/>
    <w:rsid w:val="1A2B7F5D"/>
    <w:rsid w:val="2EDF59F7"/>
    <w:rsid w:val="39CB3E0B"/>
    <w:rsid w:val="47370652"/>
    <w:rsid w:val="497156C1"/>
    <w:rsid w:val="52505342"/>
    <w:rsid w:val="57D53DA1"/>
    <w:rsid w:val="5DC563F7"/>
    <w:rsid w:val="668D4DC1"/>
    <w:rsid w:val="71076FBF"/>
    <w:rsid w:val="72B0129E"/>
    <w:rsid w:val="7A1B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99"/>
    <w:pPr>
      <w:ind w:firstLine="420" w:firstLineChars="200"/>
    </w:pPr>
    <w:rPr>
      <w:rFonts w:ascii="Calibri" w:hAnsi="Calibri" w:eastAsia="Calibri" w:cs="Times New Roman"/>
    </w:rPr>
  </w:style>
  <w:style w:type="paragraph" w:styleId="5">
    <w:name w:val="footer"/>
    <w:basedOn w:val="1"/>
    <w:qFormat/>
    <w:uiPriority w:val="0"/>
    <w:pPr>
      <w:tabs>
        <w:tab w:val="center" w:pos="4153"/>
        <w:tab w:val="right" w:pos="8306"/>
      </w:tabs>
      <w:snapToGrid w:val="0"/>
      <w:jc w:val="left"/>
    </w:pPr>
    <w:rPr>
      <w:rFonts w:ascii="Calibri" w:hAnsi="Calibri"/>
      <w:sz w:val="18"/>
      <w:szCs w:val="18"/>
    </w:rPr>
  </w:style>
  <w:style w:type="paragraph" w:styleId="6">
    <w:name w:val="Body Text 2"/>
    <w:basedOn w:val="1"/>
    <w:qFormat/>
    <w:uiPriority w:val="0"/>
    <w:pPr>
      <w:spacing w:after="120" w:afterLines="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434</Words>
  <Characters>450</Characters>
  <Lines>0</Lines>
  <Paragraphs>0</Paragraphs>
  <TotalTime>11</TotalTime>
  <ScaleCrop>false</ScaleCrop>
  <LinksUpToDate>false</LinksUpToDate>
  <CharactersWithSpaces>456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2019-12-06T00:47:00Z</dcterms:created>
  <dc:creator>%E8%94%93</dc:creator>
  <cp:lastModifiedBy>Administrator</cp:lastModifiedBy>
  <cp:lastPrinted>2022-12-27T02:39:29Z</cp:lastPrinted>
  <dcterms:modified xsi:type="dcterms:W3CDTF">2022-12-27T02:39:32Z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BD91C367C02C4156A563D4690ECD999E</vt:lpwstr>
  </property>
</Properties>
</file>