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eastAsia="方正小标宋简体"/>
          <w:sz w:val="44"/>
          <w:szCs w:val="44"/>
          <w:highlight w:val="none"/>
        </w:rPr>
      </w:pPr>
      <w:r>
        <w:rPr>
          <w:rFonts w:hint="eastAsia" w:ascii="方正小标宋简体" w:eastAsia="方正小标宋简体"/>
          <w:sz w:val="44"/>
          <w:szCs w:val="44"/>
          <w:lang w:eastAsia="zh-CN"/>
        </w:rPr>
        <w:t>四平市铁东区</w:t>
      </w:r>
      <w:r>
        <w:rPr>
          <w:rFonts w:hint="eastAsia" w:ascii="方正小标宋简体" w:eastAsia="方正小标宋简体"/>
          <w:sz w:val="44"/>
          <w:szCs w:val="44"/>
        </w:rPr>
        <w:t>关于</w:t>
      </w:r>
      <w:r>
        <w:rPr>
          <w:rFonts w:hint="eastAsia" w:ascii="方正小标宋简体" w:eastAsia="方正小标宋简体"/>
          <w:sz w:val="44"/>
          <w:szCs w:val="44"/>
          <w:highlight w:val="none"/>
        </w:rPr>
        <w:t>贯彻落实第二轮中央生态环境保护督察报告整改任务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pacing w:val="-20"/>
          <w:sz w:val="32"/>
          <w:szCs w:val="32"/>
          <w:lang w:val="en-US" w:eastAsia="zh-CN"/>
        </w:rPr>
      </w:pPr>
      <w:r>
        <w:rPr>
          <w:rFonts w:hint="eastAsia" w:eastAsia="方正小标宋简体"/>
          <w:spacing w:val="-20"/>
          <w:sz w:val="44"/>
          <w:szCs w:val="44"/>
          <w:highlight w:val="none"/>
          <w:lang w:eastAsia="zh-CN"/>
        </w:rPr>
        <w:t>销号公示表格</w:t>
      </w:r>
      <w:r>
        <w:rPr>
          <w:rFonts w:hint="eastAsia" w:eastAsia="方正小标宋简体"/>
          <w:spacing w:val="-20"/>
          <w:sz w:val="44"/>
          <w:szCs w:val="44"/>
          <w:highlight w:val="none"/>
        </w:rPr>
        <w:t>（序号</w:t>
      </w:r>
      <w:r>
        <w:rPr>
          <w:rFonts w:hint="eastAsia" w:eastAsia="方正小标宋简体"/>
          <w:spacing w:val="-20"/>
          <w:sz w:val="44"/>
          <w:szCs w:val="44"/>
          <w:highlight w:val="none"/>
          <w:lang w:eastAsia="zh-CN"/>
        </w:rPr>
        <w:t>三十四</w:t>
      </w:r>
      <w:bookmarkStart w:id="0" w:name="_GoBack"/>
      <w:bookmarkEnd w:id="0"/>
      <w:r>
        <w:rPr>
          <w:rFonts w:hint="eastAsia" w:eastAsia="方正小标宋简体"/>
          <w:spacing w:val="-20"/>
          <w:sz w:val="44"/>
          <w:szCs w:val="44"/>
          <w:highlight w:val="non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064"/>
        <w:gridCol w:w="2147"/>
        <w:gridCol w:w="1942"/>
        <w:gridCol w:w="3734"/>
        <w:gridCol w:w="410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市序号</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清单编号</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整改问题</w:t>
            </w:r>
          </w:p>
        </w:tc>
        <w:tc>
          <w:tcPr>
            <w:tcW w:w="194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整改目标</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4108"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整改任务完成情况</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0" w:hRule="atLeast"/>
        </w:trPr>
        <w:tc>
          <w:tcPr>
            <w:tcW w:w="965"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三十四</w:t>
            </w:r>
          </w:p>
        </w:tc>
        <w:tc>
          <w:tcPr>
            <w:tcW w:w="1064"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三十四</w:t>
            </w:r>
          </w:p>
        </w:tc>
        <w:tc>
          <w:tcPr>
            <w:tcW w:w="2147" w:type="dxa"/>
            <w:noWrap w:val="0"/>
            <w:vAlign w:val="top"/>
          </w:tcPr>
          <w:p>
            <w:pPr>
              <w:pStyle w:val="5"/>
              <w:bidi w:val="0"/>
              <w:rPr>
                <w:rFonts w:hint="eastAsia" w:ascii="仿宋" w:hAnsi="仿宋" w:eastAsia="仿宋" w:cs="仿宋"/>
                <w:sz w:val="21"/>
                <w:szCs w:val="21"/>
                <w:lang w:val="en-US" w:eastAsia="zh-CN"/>
              </w:rPr>
            </w:pPr>
            <w:r>
              <w:rPr>
                <w:rFonts w:hint="eastAsia" w:ascii="仿宋" w:hAnsi="仿宋" w:eastAsia="仿宋" w:cs="仿宋"/>
                <w:sz w:val="18"/>
                <w:szCs w:val="18"/>
                <w:lang w:val="en-US" w:eastAsia="zh-CN"/>
              </w:rPr>
              <w:t>全省大多数工业集聚区都分布在城市周边，一些园区内企业的生产存在大量高温高压工艺，其原料或产品多属易燃易爆、有毒有害物质，安全管控手段也不够到位，存在一定次生环境风险。</w:t>
            </w:r>
          </w:p>
        </w:tc>
        <w:tc>
          <w:tcPr>
            <w:tcW w:w="1942" w:type="dxa"/>
            <w:noWrap w:val="0"/>
            <w:vAlign w:val="top"/>
          </w:tcPr>
          <w:p>
            <w:pPr>
              <w:spacing w:line="600" w:lineRule="exact"/>
              <w:ind w:firstLine="360" w:firstLineChars="200"/>
              <w:textAlignment w:val="baseline"/>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常态化加强监管，消除工业集聚区内次生环境风险隐患。</w:t>
            </w:r>
          </w:p>
          <w:p>
            <w:pPr>
              <w:pStyle w:val="5"/>
              <w:bidi w:val="0"/>
              <w:rPr>
                <w:rFonts w:hint="eastAsia" w:ascii="仿宋" w:hAnsi="仿宋" w:eastAsia="仿宋" w:cs="仿宋"/>
                <w:sz w:val="21"/>
                <w:szCs w:val="21"/>
                <w:lang w:val="en-US" w:eastAsia="zh-CN"/>
              </w:rPr>
            </w:pPr>
          </w:p>
        </w:tc>
        <w:tc>
          <w:tcPr>
            <w:tcW w:w="3734" w:type="dxa"/>
            <w:noWrap w:val="0"/>
            <w:vAlign w:val="top"/>
          </w:tcPr>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1.对工业集聚区存在高温高压工艺，原料或产品多属易燃易爆、有毒有害物质的企业建立动态管控清单，并对清单实施动态更新。（生态环境分局）</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2.对工业集聚区存在高温高压工艺，原料或产品多属易燃易爆、有毒有害物质的企业应急预案进行备案。（生态环境分局）</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3.结合日常监管和群众信访举报，加大环境执法检查排查，严厉打击环境违法行为。（生态环境分局）</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深入开展易燃易爆、有毒有害物资安全专项整治。每年开展深入抓好相关重点行业和领域的安全专项整治。建立危险化学品、有毒有害、易燃易爆安全生产监管清单，开展有毒有害、易燃易爆重点抽查。（四平经济开发区、应急管理局）</w:t>
            </w:r>
          </w:p>
          <w:p>
            <w:pPr>
              <w:pStyle w:val="5"/>
              <w:bidi w:val="0"/>
              <w:rPr>
                <w:rFonts w:hint="eastAsia" w:ascii="仿宋" w:hAnsi="仿宋" w:eastAsia="仿宋" w:cs="仿宋"/>
                <w:sz w:val="21"/>
                <w:szCs w:val="21"/>
                <w:lang w:val="en-US" w:eastAsia="zh-CN"/>
              </w:rPr>
            </w:pPr>
            <w:r>
              <w:rPr>
                <w:rFonts w:hint="eastAsia" w:ascii="仿宋" w:hAnsi="仿宋" w:eastAsia="仿宋" w:cs="仿宋"/>
                <w:sz w:val="18"/>
                <w:szCs w:val="18"/>
                <w:lang w:val="en-US" w:eastAsia="zh-CN"/>
              </w:rPr>
              <w:t>5.加强安全生产法制建设，严肃查处违法行为。加强对危险化学品、粉尘涉爆、有毒有害气体、有限空间及人员密集场所等重点行业领域的事故隐患排查，能立即整改的要立即整改，不能立即整改的要采取有效安全防范措施，无法保证安全生产的，要立即停产停业整改。（四平经济开发区、应急管理局）</w:t>
            </w:r>
          </w:p>
          <w:p>
            <w:pPr>
              <w:pStyle w:val="5"/>
              <w:bidi w:val="0"/>
              <w:rPr>
                <w:rFonts w:hint="eastAsia" w:ascii="仿宋" w:hAnsi="仿宋" w:eastAsia="仿宋" w:cs="仿宋"/>
                <w:sz w:val="21"/>
                <w:szCs w:val="21"/>
                <w:lang w:val="en-US" w:eastAsia="zh-CN"/>
              </w:rPr>
            </w:pPr>
          </w:p>
        </w:tc>
        <w:tc>
          <w:tcPr>
            <w:tcW w:w="4108" w:type="dxa"/>
            <w:noWrap w:val="0"/>
            <w:vAlign w:val="top"/>
          </w:tcPr>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1、对工业集聚区存在高温高压工艺，原料或产品多属易燃易爆、有毒有害物质的企业建立动态管控清单，并对清单实施动态更新，经查，铁东区共有2户企业列入管控清单，现已全部整改完成。</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2、对工业集聚区存在高温高压工艺，原料或产品多属易燃易爆、有毒有害物质的2户企业应急预案进行备案。</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3、四平市生态环境铁东区分局对全区重点行业、重点企业开展环境安全风险隐患排查工作，共发现涉及环境安全风险隐患3个，现已全部整改完成。</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4.铁东区应急管理局制定下发了危险化学品、粉尘涉爆、有限空间等专项整治方案，深入开展了相关重点行业和领域的安全专项整治，建立了危险化学品、有限空间、粉尘涉爆等企业的安全生产监管清单台账。</w:t>
            </w:r>
          </w:p>
          <w:p>
            <w:pPr>
              <w:pStyle w:val="5"/>
              <w:bidi w:val="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对铁东区危险化学品、粉尘涉爆和重点有限空间企业多次开展安全生产隐患排查，梳理风险隐患，发现的问题和隐患已经责令企业整改，不能立即整改的要求企业制定整改计划和采取有效安全防范措施限期整改，存在重大事故隐患的企业已责令停产停业整改。截止目前，铁东区应急局共出动人员138人次，检查危险化学品、粉尘涉爆和重点有限空间企业46户次，发现隐患189项（其中4项重大隐患），整改 157项，其他正在整改中，责令2户企业停业整改（君汇能源、双和木业）。</w:t>
            </w:r>
          </w:p>
          <w:p>
            <w:pPr>
              <w:pStyle w:val="5"/>
              <w:bidi w:val="0"/>
              <w:rPr>
                <w:rFonts w:hint="eastAsia" w:ascii="仿宋" w:hAnsi="仿宋" w:eastAsia="仿宋" w:cs="仿宋"/>
                <w:sz w:val="21"/>
                <w:szCs w:val="21"/>
                <w:lang w:val="en-US" w:eastAsia="zh-CN"/>
              </w:rPr>
            </w:pPr>
          </w:p>
        </w:tc>
        <w:tc>
          <w:tcPr>
            <w:tcW w:w="1145" w:type="dxa"/>
            <w:noWrap w:val="0"/>
            <w:vAlign w:val="top"/>
          </w:tcPr>
          <w:p>
            <w:pPr>
              <w:pStyle w:val="5"/>
              <w:bidi w:val="0"/>
              <w:rPr>
                <w:rFonts w:hint="eastAsia" w:ascii="仿宋" w:hAnsi="仿宋" w:eastAsia="仿宋" w:cs="仿宋"/>
                <w:sz w:val="21"/>
                <w:szCs w:val="21"/>
                <w:lang w:val="en-US" w:eastAsia="zh-CN"/>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zU1YmEzNWY2YTlmMzVkYmZkMDY0OTUzNGNjNjQifQ=="/>
  </w:docVars>
  <w:rsids>
    <w:rsidRoot w:val="497156C1"/>
    <w:rsid w:val="0B166C6B"/>
    <w:rsid w:val="0BCE18A0"/>
    <w:rsid w:val="166B0468"/>
    <w:rsid w:val="1A2B7F5D"/>
    <w:rsid w:val="2EDF59F7"/>
    <w:rsid w:val="39CB3E0B"/>
    <w:rsid w:val="47370652"/>
    <w:rsid w:val="497156C1"/>
    <w:rsid w:val="52505342"/>
    <w:rsid w:val="57D53DA1"/>
    <w:rsid w:val="668D4DC1"/>
    <w:rsid w:val="67C93927"/>
    <w:rsid w:val="691A1086"/>
    <w:rsid w:val="71076FBF"/>
    <w:rsid w:val="7A1B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99"/>
    <w:pPr>
      <w:ind w:firstLine="420" w:firstLineChars="200"/>
    </w:pPr>
    <w:rPr>
      <w:rFonts w:ascii="Calibri" w:hAnsi="Calibri" w:eastAsia="Calibri" w:cs="Times New Roman"/>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Body Text 2"/>
    <w:basedOn w:val="1"/>
    <w:qFormat/>
    <w:uiPriority w:val="0"/>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1095</Words>
  <Characters>1109</Characters>
  <Lines>0</Lines>
  <Paragraphs>0</Paragraphs>
  <TotalTime>1</TotalTime>
  <ScaleCrop>false</ScaleCrop>
  <LinksUpToDate>false</LinksUpToDate>
  <CharactersWithSpaces>1110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2019-12-06T00:47:00Z</dcterms:created>
  <dc:creator>%E8%94%93</dc:creator>
  <cp:lastModifiedBy>Administrator</cp:lastModifiedBy>
  <dcterms:modified xsi:type="dcterms:W3CDTF">2022-12-27T02:45:17Z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BD91C367C02C4156A563D4690ECD999E</vt:lpwstr>
  </property>
</Properties>
</file>